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w:t>
            </w:r>
            <w:proofErr w:type="gramStart"/>
            <w:r w:rsidR="006E262C" w:rsidRPr="00444CAA">
              <w:rPr>
                <w:rFonts w:ascii="Arial" w:hAnsi="Arial" w:cs="Arial"/>
                <w:bCs/>
                <w:iCs/>
                <w:sz w:val="20"/>
                <w:szCs w:val="20"/>
              </w:rPr>
              <w:t xml:space="preserve"> ….</w:t>
            </w:r>
            <w:proofErr w:type="gramEnd"/>
            <w:r w:rsidR="006E262C" w:rsidRPr="00444CAA">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w:t>
            </w:r>
            <w:proofErr w:type="gramStart"/>
            <w:r w:rsidRPr="00162545">
              <w:rPr>
                <w:rFonts w:ascii="Arial" w:hAnsi="Arial" w:cs="Arial"/>
                <w:color w:val="000000"/>
                <w:sz w:val="20"/>
                <w:szCs w:val="20"/>
                <w:lang w:val="it-IT" w:eastAsia="it-IT"/>
              </w:rPr>
              <w:t>creditizia :</w:t>
            </w:r>
            <w:proofErr w:type="gramEnd"/>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w:t>
            </w:r>
            <w:proofErr w:type="gramStart"/>
            <w:r w:rsidRPr="006E06AE">
              <w:rPr>
                <w:rFonts w:ascii="Arial" w:hAnsi="Arial" w:cs="Arial"/>
                <w:color w:val="000000"/>
                <w:sz w:val="20"/>
                <w:szCs w:val="20"/>
              </w:rPr>
              <w:t>Titolari”</w:t>
            </w:r>
            <w:r>
              <w:rPr>
                <w:rFonts w:ascii="Arial" w:hAnsi="Arial" w:cs="Arial"/>
                <w:color w:val="000000"/>
                <w:sz w:val="20"/>
                <w:szCs w:val="20"/>
              </w:rPr>
              <w:t xml:space="preserve">  o</w:t>
            </w:r>
            <w:proofErr w:type="gramEnd"/>
            <w:r>
              <w:rPr>
                <w:rFonts w:ascii="Arial" w:hAnsi="Arial" w:cs="Arial"/>
                <w:color w:val="000000"/>
                <w:sz w:val="20"/>
                <w:szCs w:val="20"/>
              </w:rPr>
              <w:t xml:space="preserve">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FA835" w14:textId="77777777" w:rsidR="005C2300" w:rsidRDefault="005C2300" w:rsidP="0081515F">
      <w:pPr>
        <w:spacing w:after="0" w:line="240" w:lineRule="auto"/>
      </w:pPr>
      <w:r>
        <w:separator/>
      </w:r>
    </w:p>
  </w:endnote>
  <w:endnote w:type="continuationSeparator" w:id="0">
    <w:p w14:paraId="06C35E03" w14:textId="77777777" w:rsidR="005C2300" w:rsidRDefault="005C2300"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94993" w14:textId="77777777" w:rsidR="005C2300" w:rsidRDefault="005C2300" w:rsidP="0081515F">
      <w:pPr>
        <w:spacing w:after="0" w:line="240" w:lineRule="auto"/>
      </w:pPr>
      <w:r>
        <w:separator/>
      </w:r>
    </w:p>
  </w:footnote>
  <w:footnote w:type="continuationSeparator" w:id="0">
    <w:p w14:paraId="3D71496C" w14:textId="77777777" w:rsidR="005C2300" w:rsidRDefault="005C2300"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5F1CC2">
      <w:rPr>
        <w:rFonts w:ascii="Arial" w:hAnsi="Arial" w:cs="Arial"/>
        <w:noProof/>
        <w:sz w:val="20"/>
        <w:szCs w:val="20"/>
      </w:rPr>
      <w:t>8</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5F1CC2">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pt;height:8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C2300"/>
    <w:rsid w:val="005F1CC2"/>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emf"/><Relationship Id="rId9" Type="http://schemas.openxmlformats.org/officeDocument/2006/relationships/hyperlink" Target="http://www.fondidigaranzia.it" TargetMode="External"/><Relationship Id="rId32" Type="http://schemas.microsoft.com/office/2018/08/relationships/commentsExtensible" Target="commentsExtensible.xml"/><Relationship Id="rId10"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AEAB5-C3CA-0B4B-AD1E-BC3B65E8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15788</Characters>
  <Application>Microsoft Macintosh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Utente di Microsoft Office</cp:lastModifiedBy>
  <cp:revision>2</cp:revision>
  <cp:lastPrinted>2019-03-22T11:54:00Z</cp:lastPrinted>
  <dcterms:created xsi:type="dcterms:W3CDTF">2020-04-15T14:27:00Z</dcterms:created>
  <dcterms:modified xsi:type="dcterms:W3CDTF">2020-04-15T14:27:00Z</dcterms:modified>
</cp:coreProperties>
</file>